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/>
        <w:drawing>
          <wp:inline distT="0" distB="0" distL="0" distR="0">
            <wp:extent cx="600075" cy="942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 ДЕПУТАТОВ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ЦАРИЦЫНСКОГО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ГОРОДИЩЕНСКОГО РАЙОНА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ВОЛГОГРАДСКОЙ ОБЛАСТИ</w:t>
      </w:r>
    </w:p>
    <w:p>
      <w:pPr>
        <w:pStyle w:val="Style17"/>
        <w:rPr>
          <w:b/>
          <w:b/>
          <w:bCs/>
          <w:sz w:val="20"/>
        </w:rPr>
      </w:pPr>
      <w:r>
        <w:rPr>
          <w:b/>
          <w:bCs/>
          <w:color w:val="000000"/>
          <w:sz w:val="20"/>
        </w:rPr>
        <w:t>403003, Волгоградская обл., Городищенский р-н, пос. Царицын, тел. (8-8442) 53-17-97</w:t>
      </w:r>
    </w:p>
    <w:p>
      <w:pPr>
        <w:pStyle w:val="Style17"/>
        <w:rPr>
          <w:b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-105410</wp:posOffset>
                </wp:positionH>
                <wp:positionV relativeFrom="paragraph">
                  <wp:posOffset>44450</wp:posOffset>
                </wp:positionV>
                <wp:extent cx="6068695" cy="5715"/>
                <wp:effectExtent l="28575" t="36195" r="32385" b="3048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14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3.45pt" to="469.4pt,3.5pt" ID="Line 2" stroked="f" style="position:absolute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4"/>
        <w:rPr>
          <w:color w:val="000000"/>
        </w:rPr>
      </w:pPr>
      <w:r>
        <w:rPr>
          <w:color w:val="000000"/>
        </w:rPr>
        <w:t>ПРОЕКТ</w:t>
      </w:r>
    </w:p>
    <w:p>
      <w:pPr>
        <w:pStyle w:val="4"/>
        <w:rPr>
          <w:b w:val="false"/>
          <w:b w:val="false"/>
          <w:sz w:val="24"/>
          <w:szCs w:val="24"/>
        </w:rPr>
      </w:pPr>
      <w:r>
        <w:rPr>
          <w:color w:val="000000"/>
        </w:rPr>
        <w:t>РЕШЕНИЯ</w:t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color w:val="000000"/>
              </w:rPr>
              <w:t>«___» __________________ 2020года                                                                     № __</w:t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color w:val="000000"/>
              </w:rPr>
              <w:t>Об утверждении бюджета Царицынского сельского поселения на 2021 год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color w:val="000000"/>
              </w:rPr>
              <w:t>и плановый период 2022 и 2023 годов</w:t>
            </w:r>
          </w:p>
        </w:tc>
      </w:tr>
    </w:tbl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В соответствии с Положением «О бюджетном процессе в Царицынском сельском поселении», принятым Решением Царицынского Совета депутатов от 18.11.2013года № 27, Проектом Закона Волгоградской области «Об областном бюджете на 2021 год и на плановый период 2022 и 2023 годов» и Бюджетным кодексом Российской Федерации Совет депутатов Царицынского сельского поселения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  <w:color w:val="000000"/>
        </w:rPr>
        <w:t>РЕШИЛ: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1. Утвердить основные характеристики бюджета Царицынского сельского поселения на 2021 год: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а) прогнозируемый общий объем доходов бюджета Царицынского сельского поселения на 2021 год в сумме</w:t>
      </w:r>
      <w:r>
        <w:rPr>
          <w:rFonts w:ascii="Times New Roman;serif" w:hAnsi="Times New Roman;serif"/>
          <w:b/>
          <w:color w:val="000000"/>
        </w:rPr>
        <w:t xml:space="preserve"> 6 687 106,00 </w:t>
      </w:r>
      <w:r>
        <w:rPr>
          <w:color w:val="000000"/>
        </w:rPr>
        <w:t xml:space="preserve"> руб., в том числе 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  <w:color w:val="000000"/>
        </w:rPr>
        <w:t xml:space="preserve">2 102 700,00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567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  </w:t>
      </w:r>
      <w:r>
        <w:rPr>
          <w:b/>
          <w:color w:val="000000"/>
        </w:rPr>
        <w:t>2 012 000,00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567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  <w:color w:val="000000"/>
        </w:rPr>
        <w:t>4 900,00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1"/>
          <w:numId w:val="1"/>
        </w:numPr>
        <w:tabs>
          <w:tab w:val="left" w:pos="567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  <w:bCs/>
          <w:color w:val="000000"/>
        </w:rPr>
        <w:t>85 8</w:t>
      </w:r>
      <w:r>
        <w:rPr>
          <w:b/>
          <w:color w:val="000000"/>
        </w:rPr>
        <w:t xml:space="preserve">00,00 </w:t>
      </w:r>
      <w:r>
        <w:rPr>
          <w:color w:val="000000"/>
        </w:rPr>
        <w:t>руб.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б) объем расходов бюджета Царицынского сельского поселения в сумме </w:t>
      </w:r>
      <w:r>
        <w:rPr>
          <w:b/>
          <w:color w:val="000000"/>
        </w:rPr>
        <w:t xml:space="preserve">6 916 000 </w:t>
      </w:r>
      <w:r>
        <w:rPr>
          <w:color w:val="000000"/>
        </w:rPr>
        <w:t>руб.;</w:t>
      </w:r>
    </w:p>
    <w:p>
      <w:pPr>
        <w:pStyle w:val="Normal"/>
        <w:ind w:firstLine="547"/>
        <w:jc w:val="both"/>
        <w:rPr/>
      </w:pPr>
      <w:r>
        <w:rPr>
          <w:color w:val="000000"/>
        </w:rPr>
        <w:t xml:space="preserve">в) прогнозируемый дефицит бюджета Царицынского сельского поселения в сумме </w:t>
      </w:r>
      <w:r>
        <w:rPr>
          <w:rFonts w:ascii="Times New Roman;serif" w:hAnsi="Times New Roman;serif"/>
          <w:b/>
          <w:color w:val="000000"/>
        </w:rPr>
        <w:t>228 894,00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 xml:space="preserve">руб. или </w:t>
      </w:r>
      <w:r>
        <w:rPr>
          <w:rFonts w:ascii="Times New Roman;serif" w:hAnsi="Times New Roman;serif"/>
          <w:b/>
          <w:color w:val="000000"/>
        </w:rPr>
        <w:t>4,993</w:t>
      </w:r>
      <w:r>
        <w:rPr>
          <w:color w:val="000000"/>
        </w:rPr>
        <w:t xml:space="preserve"> % к объему доходов бюджета поселения без учета утвержденного объема безвозмездных поступлений.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2. Утвердить основные характеристики бюджета поселения на 2022 год и на 2023 год в следующих размерах: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а) прогнозируемый общий объем доходов бюджета Царицынского сельского поселения на 2022 год в сумме </w:t>
      </w:r>
      <w:r>
        <w:rPr>
          <w:rFonts w:ascii="Times New Roman;serif" w:hAnsi="Times New Roman;serif"/>
          <w:b/>
          <w:color w:val="000000"/>
        </w:rPr>
        <w:t>6 901 060,00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руб., в том числе: 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;serif" w:hAnsi="Times New Roman;serif"/>
          <w:b/>
          <w:color w:val="000000"/>
        </w:rPr>
        <w:t>2 103 600,00</w:t>
      </w:r>
      <w:r>
        <w:rPr>
          <w:b/>
          <w:color w:val="000000"/>
        </w:rPr>
        <w:t xml:space="preserve">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0"/>
          <w:numId w:val="2"/>
        </w:numPr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   </w:t>
      </w:r>
      <w:r>
        <w:rPr>
          <w:b/>
          <w:color w:val="000000"/>
        </w:rPr>
        <w:t>2 012 000,00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5220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  <w:color w:val="000000"/>
        </w:rPr>
        <w:t>4 900,00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-5220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  <w:bCs/>
          <w:color w:val="000000"/>
        </w:rPr>
        <w:t>86 700</w:t>
      </w:r>
      <w:r>
        <w:rPr>
          <w:b/>
          <w:color w:val="000000"/>
        </w:rPr>
        <w:t xml:space="preserve">,00 </w:t>
      </w:r>
      <w:r>
        <w:rPr>
          <w:color w:val="000000"/>
        </w:rPr>
        <w:t>руб.;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б) прогнозируемый объем доходов бюджета Царицынского сельского поселения на 2023 год в сумме </w:t>
      </w:r>
      <w:r>
        <w:rPr>
          <w:rFonts w:ascii="Times New Roman;serif" w:hAnsi="Times New Roman;serif"/>
          <w:b/>
          <w:color w:val="000000"/>
        </w:rPr>
        <w:t xml:space="preserve">7 127 780,00 </w:t>
      </w:r>
      <w:r>
        <w:rPr>
          <w:color w:val="000000"/>
        </w:rPr>
        <w:t xml:space="preserve">руб., в том числе: 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rFonts w:ascii="Times New Roman;serif" w:hAnsi="Times New Roman;serif"/>
          <w:b/>
          <w:color w:val="000000"/>
        </w:rPr>
        <w:t xml:space="preserve">2 107 100,00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0"/>
          <w:numId w:val="3"/>
        </w:numPr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</w:t>
      </w:r>
      <w:r>
        <w:rPr>
          <w:b/>
          <w:color w:val="000000"/>
        </w:rPr>
        <w:t xml:space="preserve">2 012 000,00 </w:t>
      </w:r>
      <w:r>
        <w:rPr>
          <w:color w:val="000000"/>
        </w:rPr>
        <w:t>руб.;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-5040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  <w:color w:val="000000"/>
        </w:rPr>
        <w:t>4 900,00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3"/>
        </w:numPr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  <w:bCs/>
          <w:color w:val="000000"/>
        </w:rPr>
        <w:t>90 200</w:t>
      </w:r>
      <w:r>
        <w:rPr>
          <w:b/>
          <w:color w:val="000000"/>
        </w:rPr>
        <w:t xml:space="preserve">,00 </w:t>
      </w:r>
      <w:r>
        <w:rPr>
          <w:color w:val="000000"/>
        </w:rPr>
        <w:t xml:space="preserve">руб.; </w:t>
      </w:r>
    </w:p>
    <w:p>
      <w:pPr>
        <w:pStyle w:val="Normal"/>
        <w:widowControl w:val="false"/>
        <w:ind w:firstLine="540"/>
        <w:jc w:val="both"/>
        <w:rPr/>
      </w:pPr>
      <w:r>
        <w:rPr>
          <w:color w:val="000000"/>
        </w:rPr>
        <w:t xml:space="preserve">в) объем расходов бюджета Царицынского сельского поселения на 2022 год в сумме </w:t>
      </w:r>
      <w:r>
        <w:rPr>
          <w:rFonts w:ascii="Times New Roman;serif" w:hAnsi="Times New Roman;serif"/>
          <w:b/>
          <w:color w:val="000000"/>
        </w:rPr>
        <w:t>7 140 000</w:t>
      </w:r>
      <w:r>
        <w:rPr>
          <w:b/>
          <w:color w:val="000000"/>
        </w:rPr>
        <w:t xml:space="preserve">,00 </w:t>
      </w:r>
      <w:r>
        <w:rPr>
          <w:color w:val="000000"/>
        </w:rPr>
        <w:t xml:space="preserve">руб. (в том числе условно утвержденные расходы в сумме </w:t>
      </w:r>
      <w:r>
        <w:rPr>
          <w:b/>
          <w:color w:val="000000"/>
        </w:rPr>
        <w:t>6 707 400,00</w:t>
      </w:r>
      <w:r>
        <w:rPr>
          <w:color w:val="000000"/>
        </w:rPr>
        <w:t xml:space="preserve"> руб.) и на 2023 год в сумме </w:t>
      </w:r>
      <w:r>
        <w:rPr>
          <w:b/>
          <w:color w:val="000000"/>
        </w:rPr>
        <w:t>7 377 000,00</w:t>
      </w:r>
      <w:r>
        <w:rPr>
          <w:color w:val="000000"/>
        </w:rPr>
        <w:t xml:space="preserve"> руб. (в том числе условно утвержденные расходы в сумме </w:t>
      </w:r>
      <w:r>
        <w:rPr>
          <w:b/>
          <w:bCs/>
          <w:color w:val="000000"/>
        </w:rPr>
        <w:t>7 040 900,00</w:t>
      </w:r>
      <w:r>
        <w:rPr>
          <w:color w:val="000000"/>
        </w:rPr>
        <w:t xml:space="preserve"> руб.);</w:t>
      </w:r>
    </w:p>
    <w:p>
      <w:pPr>
        <w:pStyle w:val="Normal"/>
        <w:tabs>
          <w:tab w:val="left" w:pos="900" w:leader="none"/>
          <w:tab w:val="left" w:pos="1440" w:leader="none"/>
          <w:tab w:val="left" w:pos="1620" w:leader="none"/>
          <w:tab w:val="left" w:pos="2340" w:leader="none"/>
          <w:tab w:val="left" w:pos="2880" w:leader="none"/>
          <w:tab w:val="left" w:pos="4140" w:leader="none"/>
          <w:tab w:val="left" w:pos="6120" w:leader="none"/>
        </w:tabs>
        <w:ind w:firstLine="540"/>
        <w:jc w:val="both"/>
        <w:rPr/>
      </w:pPr>
      <w:r>
        <w:rPr>
          <w:color w:val="000000"/>
        </w:rPr>
        <w:t xml:space="preserve">г) прогнозируемый дефицит бюджета Царицынского сельского поселения на 2022 год в сумме </w:t>
      </w:r>
      <w:r>
        <w:rPr>
          <w:b/>
          <w:color w:val="000000"/>
        </w:rPr>
        <w:t xml:space="preserve">238940,00 </w:t>
      </w:r>
      <w:r>
        <w:rPr>
          <w:color w:val="000000"/>
        </w:rPr>
        <w:t xml:space="preserve">руб. (4,981% к объему доходов бюджета поселения без учета утвержденного объема безвозмездных поступлений) и на 2023 год в сумме </w:t>
      </w:r>
      <w:bookmarkStart w:id="0" w:name="__DdeLink__382_1780581117"/>
      <w:r>
        <w:rPr>
          <w:b/>
          <w:color w:val="000000"/>
        </w:rPr>
        <w:t>249220,00</w:t>
      </w:r>
      <w:bookmarkEnd w:id="0"/>
      <w:r>
        <w:rPr>
          <w:b/>
          <w:color w:val="000000"/>
        </w:rPr>
        <w:t xml:space="preserve"> </w:t>
      </w:r>
      <w:r>
        <w:rPr>
          <w:color w:val="000000"/>
        </w:rPr>
        <w:t xml:space="preserve">руб. (4,964% к объему доходов бюджета поселения без учета утвержденного объема безвозмездных поступлений).  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3. В состав источников внутреннего финансирования дефицита бюджета Царицынского сельского поселения  на 2021-2023 гг. включаются: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900" w:leader="none"/>
        </w:tabs>
        <w:ind w:left="0" w:firstLine="540"/>
        <w:jc w:val="both"/>
        <w:rPr>
          <w:color w:val="000000"/>
        </w:rPr>
      </w:pPr>
      <w:r>
        <w:rPr>
          <w:color w:val="000000"/>
        </w:rPr>
        <w:t>изменение остатков средств на счетах по учету средств бюджета поселения в течение соответствующего финансового года;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900" w:leader="none"/>
        </w:tabs>
        <w:ind w:left="0" w:firstLine="540"/>
        <w:jc w:val="both"/>
        <w:rPr>
          <w:color w:val="000000"/>
        </w:rPr>
      </w:pPr>
      <w:r>
        <w:rPr>
          <w:color w:val="000000"/>
        </w:rPr>
        <w:t>иные источники внутреннего финансирования дефицита бюджета.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4. Установить предельный объем муниципального долга Царицынского сельского поселения на 2021 год  в сумме – </w:t>
      </w:r>
      <w:r>
        <w:rPr>
          <w:rFonts w:ascii="Times New Roman;serif" w:hAnsi="Times New Roman;serif"/>
          <w:b/>
          <w:color w:val="000000"/>
        </w:rPr>
        <w:t>228894</w:t>
      </w:r>
      <w:r>
        <w:rPr>
          <w:b/>
          <w:color w:val="000000"/>
        </w:rPr>
        <w:t>,00</w:t>
      </w:r>
      <w:r>
        <w:rPr>
          <w:color w:val="000000"/>
        </w:rPr>
        <w:t xml:space="preserve"> руб.;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                               </w:t>
      </w:r>
      <w:r>
        <w:rPr>
          <w:color w:val="000000"/>
        </w:rPr>
        <w:t xml:space="preserve">на 2022 год – </w:t>
      </w:r>
      <w:r>
        <w:rPr>
          <w:b/>
          <w:color w:val="000000"/>
        </w:rPr>
        <w:t xml:space="preserve">238940,00 </w:t>
      </w:r>
      <w:r>
        <w:rPr>
          <w:color w:val="000000"/>
        </w:rPr>
        <w:t>руб.;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                               </w:t>
      </w:r>
      <w:r>
        <w:rPr>
          <w:color w:val="000000"/>
        </w:rPr>
        <w:t xml:space="preserve">на 2023 год – </w:t>
      </w:r>
      <w:r>
        <w:rPr>
          <w:b/>
          <w:color w:val="000000"/>
        </w:rPr>
        <w:t xml:space="preserve">249220,00 </w:t>
      </w:r>
      <w:r>
        <w:rPr>
          <w:color w:val="000000"/>
        </w:rPr>
        <w:t>руб.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5. Установить верхний предел муниципального внутреннего долга Царицынского сельского поселения по состоянию: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- на 1 января 2021 года в сумме 0 рублей, в т.ч. верхний предел по муниципальным гарантиям в сумме  0 рублей;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- на 1 января 2022 года в сумме 0 рублей, в т.ч. верхний предел по муниципальным гарантиям в сумме 0 рублей,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- на 1 января 2023 года в сумме 0 рублей, в т.ч. верхний предел по муниципальным гарантиям в сумме 0 рублей.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 xml:space="preserve">6. Утвердить перечень главных администраторов доходов бюджета поселения согласно </w:t>
      </w:r>
      <w:r>
        <w:rPr>
          <w:b/>
          <w:color w:val="000000"/>
        </w:rPr>
        <w:t xml:space="preserve">приложению № 1 </w:t>
      </w:r>
      <w:r>
        <w:rPr>
          <w:color w:val="000000"/>
        </w:rPr>
        <w:t>к настоящему Решению.</w:t>
      </w:r>
    </w:p>
    <w:p>
      <w:pPr>
        <w:pStyle w:val="Normal"/>
        <w:tabs>
          <w:tab w:val="left" w:pos="720" w:leader="none"/>
          <w:tab w:val="left" w:pos="900" w:leader="none"/>
        </w:tabs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720" w:leader="none"/>
          <w:tab w:val="left" w:pos="900" w:leader="none"/>
        </w:tabs>
        <w:ind w:firstLine="54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spacing w:val="-254"/>
        </w:rPr>
        <w:t xml:space="preserve"> </w:t>
      </w:r>
      <w:r>
        <w:rPr>
          <w:color w:val="000000"/>
        </w:rPr>
        <w:t xml:space="preserve">Утвердить перечень главных администраторов источников финансирования дефицита бюджета Царицынского сельского поселения согласно </w:t>
      </w:r>
      <w:r>
        <w:rPr>
          <w:b/>
          <w:color w:val="000000"/>
        </w:rPr>
        <w:t>приложению № 2</w:t>
      </w:r>
      <w:r>
        <w:rPr>
          <w:color w:val="000000"/>
        </w:rPr>
        <w:t xml:space="preserve"> 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8. Глава Царицынского сельского поселения в случае изменения в 2021 году состава и (или) функций главных администраторов доходов бюджета Царицынского сельского поселения или главных администраторов источников финансирования дефицита бюджета Царицынского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9. Учесть в бюджете Царицынского сельского поселения поступление доходов в 2021–2023 годах согласно </w:t>
      </w:r>
      <w:r>
        <w:rPr>
          <w:b/>
          <w:color w:val="000000"/>
        </w:rPr>
        <w:t>приложению № 3</w:t>
      </w:r>
      <w:r>
        <w:rPr>
          <w:color w:val="000000"/>
        </w:rPr>
        <w:t xml:space="preserve"> к настоящему Решению, в 2021 году с поквартальным поступлением доходов согласно </w:t>
      </w:r>
      <w:r>
        <w:rPr>
          <w:b/>
          <w:color w:val="000000"/>
        </w:rPr>
        <w:t>приложению № 4</w:t>
      </w:r>
      <w:r>
        <w:rPr>
          <w:color w:val="000000"/>
        </w:rPr>
        <w:t xml:space="preserve"> к настоящему Решению.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10. Утвердить в пределах общего объема расходов, установленного настоящим Решением, распределение бюджетных ассигнований по разделам и подразделам классификации расходов бюджета Царицынского сельского поселения: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2021- 2023 годы согласно </w:t>
      </w:r>
      <w:r>
        <w:rPr>
          <w:b/>
          <w:color w:val="000000"/>
        </w:rPr>
        <w:t xml:space="preserve">приложению № 5 </w:t>
      </w:r>
      <w:r>
        <w:rPr>
          <w:color w:val="000000"/>
        </w:rPr>
        <w:t>к настоящему Решению;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2021 год согласно </w:t>
      </w:r>
      <w:r>
        <w:rPr>
          <w:b/>
          <w:color w:val="000000"/>
        </w:rPr>
        <w:t xml:space="preserve">приложению № 6 </w:t>
      </w:r>
      <w:r>
        <w:rPr>
          <w:color w:val="000000"/>
        </w:rPr>
        <w:t>к настоящему Решению;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2022 год согласно </w:t>
      </w:r>
      <w:r>
        <w:rPr>
          <w:b/>
          <w:color w:val="000000"/>
        </w:rPr>
        <w:t xml:space="preserve">приложению № 7 </w:t>
      </w:r>
      <w:r>
        <w:rPr>
          <w:color w:val="000000"/>
        </w:rPr>
        <w:t>к настоящему Решению;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2023 год согласно </w:t>
      </w:r>
      <w:r>
        <w:rPr>
          <w:b/>
          <w:color w:val="000000"/>
        </w:rPr>
        <w:t xml:space="preserve">приложению № 8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11. Утвердить в пределах общего объема расходов, установленного настоящим Решением, распределение бюджетных ассигнований по разделам и подразделам, целевым статьям и видам расходов классификации расходов бюджета Царицынского сельского поселения на 2021- 2023 годы согласно </w:t>
      </w:r>
      <w:r>
        <w:rPr>
          <w:b/>
          <w:color w:val="000000"/>
        </w:rPr>
        <w:t xml:space="preserve">приложению № 9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12. Утвердить ведомственную структуру расходов бюджета Царицынского сельского поселения на 2021–2023 годы согласно </w:t>
      </w:r>
      <w:r>
        <w:rPr>
          <w:b/>
          <w:color w:val="000000"/>
        </w:rPr>
        <w:t xml:space="preserve">приложению № 10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13. Утвердить распределение бюджетных ассигнований на реализацию муниципальных программ Царицынского сельского поселения на 2021-2023 годы согласно </w:t>
      </w:r>
      <w:r>
        <w:rPr>
          <w:b/>
          <w:color w:val="000000"/>
        </w:rPr>
        <w:t xml:space="preserve">приложению № 11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Вместе с решением о бюджете представляются паспорта муниципальных программ, действие которых распространяется на очередной финансовый год и плановый период:</w:t>
      </w:r>
    </w:p>
    <w:p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- муниципальная программа «Функционирование и развитие системы управления Царицынского сельского поселения» на 2019-2021 годы;</w:t>
      </w:r>
    </w:p>
    <w:p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- муниципальная программа «Сохранение и развитие муниципального казённого учреждения «Центр культурного и спортивно - оздоровительного обслуживания населения» Царицынского сельского поселения» на 2019-2021 годы;</w:t>
      </w:r>
    </w:p>
    <w:p>
      <w:pPr>
        <w:pStyle w:val="ConsPlusTitle"/>
        <w:widowControl/>
        <w:ind w:firstLine="567"/>
        <w:jc w:val="both"/>
        <w:rPr>
          <w:highlight w:val="yellow"/>
        </w:rPr>
      </w:pPr>
      <w:r>
        <w:rPr/>
        <w:t xml:space="preserve">-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муниципальная программа «Ремонт и содержание автомобильных дорог общего пользования в Царицынском сельском поселении» на 2019-2021 гг.;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- муниципальная программа «Благоустройство территории Царицынского сельского поселения» на 2019-2021 годы;</w:t>
      </w:r>
    </w:p>
    <w:p>
      <w:pPr>
        <w:pStyle w:val="ConsPlusTitle"/>
        <w:widowControl/>
        <w:ind w:right="-6" w:firstLine="567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- м</w:t>
      </w:r>
      <w:r>
        <w:rPr>
          <w:rFonts w:cs="Times New Roman" w:ascii="Times New Roman;serif" w:hAnsi="Times New Roman;serif"/>
          <w:b w:val="false"/>
          <w:bCs w:val="false"/>
          <w:color w:val="000000"/>
          <w:sz w:val="24"/>
          <w:szCs w:val="24"/>
        </w:rPr>
        <w:t>униципальная программа «Профилактика экстремизма и терроризма на территории Царицынского сельского поселения Городищенского муниципального района Волгоградской области на 2020-2022 годы»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ConsPlusTitle"/>
        <w:widowControl/>
        <w:ind w:right="-6" w:firstLine="567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</w:t>
      </w:r>
      <w:r>
        <w:rPr>
          <w:rFonts w:cs="Times New Roman" w:ascii="Times New Roman;serif" w:hAnsi="Times New Roman;serif"/>
          <w:b w:val="false"/>
          <w:bCs w:val="false"/>
          <w:color w:val="000000"/>
          <w:sz w:val="24"/>
          <w:szCs w:val="24"/>
        </w:rPr>
        <w:t>униципальная программа «Формирование доступной среды жизнедеятельности для инвалидов и других маломобильных групп в Царицынском сельском поселении на 2020-2022 годы»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ConsPlusTitle"/>
        <w:widowControl/>
        <w:ind w:right="-6" w:firstLine="567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- м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униципальная программа «Формирование современной городской среды на территории Царицынского сельского поселения Городищенского муниципального района Волгоградской области» на 2018-2024 годы;</w:t>
      </w:r>
    </w:p>
    <w:p>
      <w:pPr>
        <w:pStyle w:val="ConsPlusTitle"/>
        <w:widowControl/>
        <w:ind w:right="-6" w:firstLine="567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- муниципальная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Царицынского сельского поселения на 2020-2022гг.».</w:t>
      </w:r>
      <w:bookmarkStart w:id="1" w:name="_GoBack"/>
      <w:bookmarkEnd w:id="1"/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14. Установить, что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>
      <w:pPr>
        <w:pStyle w:val="Normal"/>
        <w:tabs>
          <w:tab w:val="left" w:pos="1260" w:leader="none"/>
        </w:tabs>
        <w:ind w:firstLine="567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tabs>
          <w:tab w:val="left" w:pos="1260" w:leader="none"/>
        </w:tabs>
        <w:ind w:firstLine="567"/>
        <w:rPr/>
      </w:pPr>
      <w:r>
        <w:rPr>
          <w:color w:val="000000"/>
        </w:rPr>
        <w:t xml:space="preserve">15. Утвердить перечень главных распорядителей средств бюджета Царицынского сельского поселения согласно </w:t>
      </w:r>
      <w:r>
        <w:rPr>
          <w:b/>
          <w:color w:val="000000"/>
        </w:rPr>
        <w:t>приложению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№12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16. Утвердить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2021 год согласно </w:t>
      </w:r>
      <w:r>
        <w:rPr>
          <w:b/>
          <w:color w:val="000000"/>
        </w:rPr>
        <w:t xml:space="preserve">приложению № 13 </w:t>
      </w:r>
      <w:r>
        <w:rPr>
          <w:color w:val="000000"/>
        </w:rPr>
        <w:t xml:space="preserve">и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2022-2023 годы согласно </w:t>
      </w:r>
      <w:r>
        <w:rPr>
          <w:b/>
          <w:color w:val="000000"/>
        </w:rPr>
        <w:t xml:space="preserve">приложению № 14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highlight w:val="yellow"/>
        </w:rPr>
      </w:pPr>
      <w:r>
        <w:rPr>
          <w:color w:val="000000"/>
        </w:rPr>
        <w:t xml:space="preserve">17. Утвердить программу приватизации (продажи) муниципального имущества Царицынского сельского поселения на 2021 год и на период до 2023 года согласно </w:t>
      </w:r>
      <w:r>
        <w:rPr>
          <w:b/>
          <w:color w:val="000000"/>
        </w:rPr>
        <w:t xml:space="preserve">приложению № 15 </w:t>
      </w:r>
      <w:r>
        <w:rPr>
          <w:color w:val="000000"/>
        </w:rPr>
        <w:t>к настоящему решению.</w:t>
      </w:r>
    </w:p>
    <w:p>
      <w:pPr>
        <w:pStyle w:val="Normal"/>
        <w:ind w:firstLine="567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67"/>
        <w:rPr/>
      </w:pPr>
      <w:r>
        <w:rPr>
          <w:color w:val="000000"/>
        </w:rPr>
        <w:t xml:space="preserve">18. Утвердить предельную штатную численность муниципальных служащих и лиц, замещающих муниципальные должности Администрации Царицынского сельского поселения в 2021г. согласно </w:t>
      </w:r>
      <w:r>
        <w:rPr>
          <w:b/>
          <w:color w:val="000000"/>
        </w:rPr>
        <w:t xml:space="preserve">приложению № 16 </w:t>
      </w:r>
      <w:r>
        <w:rPr>
          <w:color w:val="000000"/>
        </w:rPr>
        <w:t xml:space="preserve">к настоящему решению.   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19. Установить, что глава Царицынского сельского поселения не вправе принимать решения, приводящие к увеличению в 2021 году численности муниципальных служащих, работников казенных учреждений и организаций бюджетной сферы, за исключением случаев, когда Федеральными законами от 04 июля 2003 года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06 октября 2003 г. № 131-ФЗ «Об общих принципах организации местного самоуправления в Российской Федерации» и другими нормативными правовыми актами субъектам Российской Федерации устанавливаются дополнительные полномочия.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20. Уполномоченный финансовый орган вправе в ходе исполнения решения о бюджете на 2021 год вносить по представлению главных распорядителей средств бюджета поселения изменения в экономическую структуру расходов бюджета сельского поселения, в случае образования в ходе исполнения бюджета на 2021 год экономии по отдельным статьям экономической классификации расходов бюджета поселения; функциональную и экономическую структуру расходов бюджета сельского поселения,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учреждений, мероприятий или видов расходов; в иных случаях  установленных бюджетным законодательством Волгоградской области и Положением о бюджетном процессе Царицынского сельского поселения.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21. Определить, что главный распорядитель средств бюджета поселения осуществляет контроль за получателями бюджетных средств в части обеспечения целевого использования бюджетных средств, своевременного возврата неисполненной части, предоставления отчетности, выполнения заданий по предоставлению муниципальных услуг.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22. Установить, что правовые акты Царицынского сельского поселения,  влекущие дополнительные расходы за счет средств бюджета сельского поселения на 2021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2021 год, а также после внесения соответствующих изменений в настоящее Решение.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23. В ходе исполнения бюджета 2021 года Глава Царицынского сельского поселения вправе ежеквартально вносить предложения по внесению изменений в настоящее Решение для устранения диспропорций, возникающих при исполнении бюджета.</w:t>
      </w:r>
    </w:p>
    <w:p>
      <w:pPr>
        <w:pStyle w:val="Normal"/>
        <w:ind w:left="540" w:hanging="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left="540" w:hanging="0"/>
        <w:jc w:val="both"/>
        <w:rPr/>
      </w:pPr>
      <w:r>
        <w:rPr>
          <w:color w:val="000000"/>
        </w:rPr>
        <w:t>24. Настоящее Решение вступает в силу с 1 января 2021 года.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Председатель Совета Депутатов</w:t>
      </w:r>
    </w:p>
    <w:p>
      <w:pPr>
        <w:pStyle w:val="Normal"/>
        <w:rPr/>
      </w:pPr>
      <w:r>
        <w:rPr>
          <w:color w:val="000000"/>
        </w:rPr>
        <w:t>Царицынского сельского поселения</w:t>
        <w:tab/>
        <w:tab/>
        <w:tab/>
        <w:tab/>
        <w:t xml:space="preserve">                   П.В. Василенко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21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7621f"/>
    <w:pPr>
      <w:keepNext w:val="true"/>
      <w:outlineLvl w:val="0"/>
    </w:pPr>
    <w:rPr>
      <w:b/>
      <w:bCs/>
      <w:sz w:val="28"/>
      <w:szCs w:val="28"/>
    </w:rPr>
  </w:style>
  <w:style w:type="paragraph" w:styleId="4">
    <w:name w:val="Heading 4"/>
    <w:basedOn w:val="Normal"/>
    <w:link w:val="41"/>
    <w:uiPriority w:val="99"/>
    <w:qFormat/>
    <w:rsid w:val="00f7621f"/>
    <w:pPr>
      <w:keepNext w:val="true"/>
      <w:jc w:val="center"/>
      <w:outlineLvl w:val="3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7621f"/>
    <w:rPr>
      <w:rFonts w:cs="Times New Roman"/>
      <w:b/>
      <w:sz w:val="28"/>
      <w:lang w:val="ru-RU" w:eastAsia="ru-RU"/>
    </w:rPr>
  </w:style>
  <w:style w:type="character" w:styleId="41" w:customStyle="1">
    <w:name w:val="Заголовок 4 Знак1"/>
    <w:basedOn w:val="DefaultParagraphFont"/>
    <w:link w:val="4"/>
    <w:uiPriority w:val="99"/>
    <w:qFormat/>
    <w:locked/>
    <w:rsid w:val="00f7621f"/>
    <w:rPr>
      <w:rFonts w:cs="Times New Roman"/>
      <w:b/>
      <w:sz w:val="40"/>
      <w:lang w:val="ru-RU" w:eastAsia="ru-RU"/>
    </w:rPr>
  </w:style>
  <w:style w:type="character" w:styleId="Style12" w:customStyle="1">
    <w:name w:val="Основной текст Знак"/>
    <w:basedOn w:val="DefaultParagraphFont"/>
    <w:uiPriority w:val="99"/>
    <w:semiHidden/>
    <w:qFormat/>
    <w:locked/>
    <w:rsid w:val="00194062"/>
    <w:rPr>
      <w:rFonts w:cs="Times New Roman"/>
      <w:sz w:val="24"/>
      <w:szCs w:val="24"/>
    </w:rPr>
  </w:style>
  <w:style w:type="character" w:styleId="Style13" w:customStyle="1">
    <w:name w:val="Текст выноски Знак"/>
    <w:basedOn w:val="DefaultParagraphFont"/>
    <w:uiPriority w:val="99"/>
    <w:semiHidden/>
    <w:qFormat/>
    <w:locked/>
    <w:rsid w:val="00194062"/>
    <w:rPr>
      <w:rFonts w:cs="Times New Roman"/>
      <w:sz w:val="2"/>
    </w:rPr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040450"/>
    <w:rPr>
      <w:rFonts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locked/>
    <w:rsid w:val="00040450"/>
    <w:rPr>
      <w:rFonts w:cs="Times New Roman"/>
      <w:sz w:val="24"/>
      <w:szCs w:val="24"/>
    </w:rPr>
  </w:style>
  <w:style w:type="character" w:styleId="42" w:customStyle="1">
    <w:name w:val="Заголовок 4 Знак"/>
    <w:basedOn w:val="DefaultParagraphFont"/>
    <w:uiPriority w:val="99"/>
    <w:qFormat/>
    <w:locked/>
    <w:rsid w:val="00f40167"/>
    <w:rPr>
      <w:rFonts w:cs="Times New Roman"/>
      <w:b/>
      <w:bCs/>
      <w:sz w:val="40"/>
      <w:szCs w:val="40"/>
      <w:lang w:val="ru-RU" w:eastAsia="ru-RU" w:bidi="ar-SA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b/>
      <w:i w:val="false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uiPriority w:val="99"/>
    <w:rsid w:val="00f7621f"/>
    <w:pPr>
      <w:ind w:firstLine="720"/>
      <w:jc w:val="both"/>
    </w:pPr>
    <w:rPr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6765d"/>
    <w:pPr/>
    <w:rPr>
      <w:rFonts w:ascii="Tahoma" w:hAnsi="Tahoma" w:cs="Tahoma"/>
      <w:sz w:val="16"/>
      <w:szCs w:val="16"/>
    </w:rPr>
  </w:style>
  <w:style w:type="paragraph" w:styleId="Style21">
    <w:name w:val="Header"/>
    <w:basedOn w:val="Normal"/>
    <w:uiPriority w:val="99"/>
    <w:rsid w:val="00040450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rsid w:val="00040450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7a5fa1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LibreOffice/6.0.5.2$Windows_X86_64 LibreOffice_project/54c8cbb85f300ac59db32fe8a675ff7683cd5a16</Application>
  <Pages>5</Pages>
  <Words>1685</Words>
  <Characters>11398</Characters>
  <CharactersWithSpaces>13276</CharactersWithSpaces>
  <Paragraphs>80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2020-11-12T15:14:00Z</dcterms:created>
  <dc:creator>Иван</dc:creator>
  <dc:description/>
  <dc:language>ru-RU</dc:language>
  <cp:lastModifiedBy/>
  <cp:lastPrinted>2016-12-12T11:02:00Z</cp:lastPrinted>
  <dcterms:modified xsi:type="dcterms:W3CDTF">2020-11-12T21:53:02Z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1000605590</vt:i4>
  </property>
</Properties>
</file>